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В стоимость работ включены все затраты подрядчика: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заработанная плата рабочих;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стоимость эксплуатации машин и механизмов;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электроинструмент;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материалы, в том числе расходные;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бытовые помещения;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-ИТР состав;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охрана труда;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накладные расходы;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 письменному обращению П</w:t>
      </w:r>
      <w:r w:rsidR="0060640A">
        <w:rPr>
          <w:sz w:val="23"/>
          <w:szCs w:val="23"/>
          <w:highlight w:val="yellow"/>
        </w:rPr>
        <w:t>одрядчика</w:t>
      </w:r>
      <w:r w:rsidRPr="0060640A">
        <w:rPr>
          <w:sz w:val="23"/>
          <w:szCs w:val="23"/>
          <w:highlight w:val="yellow"/>
        </w:rPr>
        <w:t>, Г</w:t>
      </w:r>
      <w:r w:rsidR="0060640A">
        <w:rPr>
          <w:sz w:val="23"/>
          <w:szCs w:val="23"/>
          <w:highlight w:val="yellow"/>
        </w:rPr>
        <w:t>енподрядчик</w:t>
      </w:r>
      <w:r w:rsidRPr="0060640A">
        <w:rPr>
          <w:sz w:val="23"/>
          <w:szCs w:val="23"/>
          <w:highlight w:val="yellow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Ежемесячно подрядчик компенсирует Генподрядчику затраты в размере 4% от стоимости 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lastRenderedPageBreak/>
        <w:t>выполненных работ за отчетный месяц за затраты, связанные с обеспечением техдокументацией</w:t>
      </w:r>
      <w:r w:rsidRPr="0060640A">
        <w:rPr>
          <w:sz w:val="23"/>
          <w:szCs w:val="23"/>
          <w:highlight w:val="yellow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60640A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Предоставить точку подключения к электроэнергии 220 </w:t>
      </w:r>
      <w:proofErr w:type="gramStart"/>
      <w:r w:rsidRPr="0060640A">
        <w:rPr>
          <w:sz w:val="23"/>
          <w:szCs w:val="23"/>
          <w:highlight w:val="yellow"/>
        </w:rPr>
        <w:t>В</w:t>
      </w:r>
      <w:proofErr w:type="gramEnd"/>
      <w:r w:rsidRPr="0060640A">
        <w:rPr>
          <w:sz w:val="23"/>
          <w:szCs w:val="23"/>
          <w:highlight w:val="yellow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Обеспечивать совместно с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сдачу законченных работ на Объекте.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60640A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включая, </w:t>
      </w:r>
      <w:r w:rsidRPr="0060640A">
        <w:rPr>
          <w:sz w:val="23"/>
          <w:szCs w:val="23"/>
        </w:rPr>
        <w:lastRenderedPageBreak/>
        <w:t>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</w:t>
      </w:r>
      <w:r w:rsidRPr="0060640A">
        <w:rPr>
          <w:sz w:val="23"/>
          <w:szCs w:val="23"/>
        </w:rPr>
        <w:lastRenderedPageBreak/>
        <w:t>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:rsidR="006D2512" w:rsidRPr="0060640A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  <w:highlight w:val="yellow"/>
        </w:rPr>
        <w:t>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lastRenderedPageBreak/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Лица, осуществляющие авторский надзор, наряду с полномочиями, указанными в иных </w:t>
      </w:r>
      <w:r w:rsidRPr="0060640A">
        <w:rPr>
          <w:sz w:val="23"/>
          <w:szCs w:val="23"/>
        </w:rPr>
        <w:lastRenderedPageBreak/>
        <w:t>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Если в течение 3 (трех) календарных дней с момента получения уведомления Генерального </w:t>
      </w:r>
      <w:r w:rsidRPr="0060640A">
        <w:rPr>
          <w:sz w:val="23"/>
          <w:szCs w:val="23"/>
        </w:rPr>
        <w:lastRenderedPageBreak/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 xml:space="preserve">с указанием </w:t>
      </w:r>
      <w:r w:rsidRPr="0060640A">
        <w:lastRenderedPageBreak/>
        <w:t>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t xml:space="preserve"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</w:t>
      </w:r>
      <w:r w:rsidRPr="0060640A">
        <w:lastRenderedPageBreak/>
        <w:t>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566500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  <w:highlight w:val="green"/>
        </w:rPr>
      </w:pPr>
      <w:r w:rsidRPr="00566500">
        <w:rPr>
          <w:sz w:val="23"/>
          <w:szCs w:val="23"/>
          <w:highlight w:val="green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вправе</w:t>
      </w:r>
      <w:r w:rsidRPr="00566500">
        <w:rPr>
          <w:spacing w:val="-11"/>
          <w:sz w:val="23"/>
          <w:szCs w:val="23"/>
          <w:highlight w:val="green"/>
        </w:rPr>
        <w:t xml:space="preserve"> </w:t>
      </w:r>
      <w:r w:rsidR="00D56FC3" w:rsidRPr="00566500">
        <w:rPr>
          <w:spacing w:val="-11"/>
          <w:sz w:val="23"/>
          <w:szCs w:val="23"/>
          <w:highlight w:val="green"/>
        </w:rPr>
        <w:t xml:space="preserve">требовать возмещения Подрядчиком (в том числе </w:t>
      </w:r>
      <w:r w:rsidR="0060640A" w:rsidRPr="00566500">
        <w:rPr>
          <w:sz w:val="23"/>
          <w:szCs w:val="23"/>
          <w:highlight w:val="green"/>
        </w:rPr>
        <w:t>производить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удержание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 любых сумм, подлежащих уплате Подрядчику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по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настоящему</w:t>
      </w:r>
      <w:r w:rsidR="00D56FC3" w:rsidRPr="00566500">
        <w:rPr>
          <w:spacing w:val="-10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Договору,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566500">
        <w:rPr>
          <w:sz w:val="23"/>
          <w:szCs w:val="23"/>
          <w:highlight w:val="green"/>
        </w:rPr>
        <w:t xml:space="preserve">включая, </w:t>
      </w:r>
      <w:r w:rsidR="00D56FC3" w:rsidRPr="00566500">
        <w:rPr>
          <w:sz w:val="23"/>
          <w:szCs w:val="23"/>
          <w:highlight w:val="green"/>
        </w:rPr>
        <w:t>но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не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ограничиваясь,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суммы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Гарантийного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 xml:space="preserve">удержания), а Подрядчик обязан возместить по требованию Генподрядчика, </w:t>
      </w:r>
      <w:r w:rsidRPr="00566500">
        <w:rPr>
          <w:sz w:val="23"/>
          <w:szCs w:val="23"/>
          <w:highlight w:val="green"/>
        </w:rPr>
        <w:t>сумм</w:t>
      </w:r>
      <w:r w:rsidR="00D56FC3" w:rsidRPr="00566500">
        <w:rPr>
          <w:sz w:val="23"/>
          <w:szCs w:val="23"/>
          <w:highlight w:val="green"/>
        </w:rPr>
        <w:t>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причиненных</w:t>
      </w:r>
      <w:r w:rsidRPr="00566500">
        <w:rPr>
          <w:spacing w:val="-1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ему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убытков;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расходов,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 xml:space="preserve">понесенных Генеральным подрядчиком, в </w:t>
      </w:r>
      <w:proofErr w:type="spellStart"/>
      <w:r w:rsidRPr="00566500">
        <w:rPr>
          <w:sz w:val="23"/>
          <w:szCs w:val="23"/>
          <w:highlight w:val="green"/>
        </w:rPr>
        <w:t>т.ч</w:t>
      </w:r>
      <w:proofErr w:type="spellEnd"/>
      <w:r w:rsidRPr="00566500">
        <w:rPr>
          <w:sz w:val="23"/>
          <w:szCs w:val="23"/>
          <w:highlight w:val="green"/>
        </w:rPr>
        <w:t xml:space="preserve">. сумм расходов на устранение недостатков и дефектов работ, сумм расходов на проведение экспертизы и сумм иных расходов Генерального подрядчика; </w:t>
      </w:r>
      <w:bookmarkStart w:id="0" w:name="_GoBack"/>
      <w:bookmarkEnd w:id="0"/>
      <w:r w:rsidRPr="00566500">
        <w:rPr>
          <w:sz w:val="23"/>
          <w:szCs w:val="23"/>
          <w:highlight w:val="green"/>
        </w:rPr>
        <w:t>любых сумм, уплаченных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Генеральным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подрядчиком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третьим лицам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 связи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 выполнением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ими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 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оказанием услуг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</w:t>
      </w:r>
      <w:r w:rsidRPr="00566500">
        <w:rPr>
          <w:spacing w:val="-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устранению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недостатков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дефектов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Работ;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любых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неустоек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санкций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(штрафов,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566500">
        <w:rPr>
          <w:highlight w:val="green"/>
        </w:rPr>
        <w:t>У</w:t>
      </w:r>
      <w:r w:rsidR="00F63126" w:rsidRPr="00566500">
        <w:rPr>
          <w:highlight w:val="green"/>
        </w:rPr>
        <w:t>держания</w:t>
      </w:r>
      <w:r w:rsidRPr="00566500">
        <w:rPr>
          <w:highlight w:val="green"/>
        </w:rPr>
        <w:t xml:space="preserve"> из любых сумм, подлежащих уплате Подрядчику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по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настоящему</w:t>
      </w:r>
      <w:r w:rsidRPr="00566500">
        <w:rPr>
          <w:spacing w:val="-10"/>
          <w:highlight w:val="green"/>
        </w:rPr>
        <w:t xml:space="preserve"> </w:t>
      </w:r>
      <w:r w:rsidRPr="00566500">
        <w:rPr>
          <w:highlight w:val="green"/>
        </w:rPr>
        <w:t>Договору,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в</w:t>
      </w:r>
      <w:r w:rsidRPr="00566500">
        <w:rPr>
          <w:spacing w:val="-9"/>
          <w:highlight w:val="green"/>
        </w:rPr>
        <w:t xml:space="preserve"> </w:t>
      </w:r>
      <w:proofErr w:type="spellStart"/>
      <w:r w:rsidRPr="00566500">
        <w:rPr>
          <w:highlight w:val="green"/>
        </w:rPr>
        <w:t>т.ч</w:t>
      </w:r>
      <w:proofErr w:type="spellEnd"/>
      <w:r w:rsidRPr="00566500">
        <w:rPr>
          <w:highlight w:val="green"/>
        </w:rPr>
        <w:t>.,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не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ограничиваясь,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из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суммы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Гарантийного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удержания</w:t>
      </w:r>
      <w:r w:rsidR="00F63126" w:rsidRPr="00566500">
        <w:rPr>
          <w:highlight w:val="green"/>
        </w:rPr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566500">
        <w:rPr>
          <w:spacing w:val="-1"/>
          <w:highlight w:val="green"/>
        </w:rPr>
        <w:t xml:space="preserve"> </w:t>
      </w:r>
      <w:r w:rsidR="00F63126" w:rsidRPr="00566500">
        <w:rPr>
          <w:highlight w:val="green"/>
        </w:rPr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не менее чем за 10 (десять) календарных дней до момента такого отказа, без возмещения Подрядчику </w:t>
      </w:r>
      <w:r w:rsidRPr="0060640A">
        <w:rPr>
          <w:sz w:val="23"/>
          <w:szCs w:val="23"/>
        </w:rPr>
        <w:lastRenderedPageBreak/>
        <w:t>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</w:t>
      </w:r>
      <w:r w:rsidRPr="0060640A">
        <w:rPr>
          <w:sz w:val="23"/>
          <w:szCs w:val="23"/>
        </w:rPr>
        <w:lastRenderedPageBreak/>
        <w:t>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D4" w:rsidRDefault="008D16D4">
      <w:r>
        <w:separator/>
      </w:r>
    </w:p>
  </w:endnote>
  <w:endnote w:type="continuationSeparator" w:id="0">
    <w:p w:rsidR="008D16D4" w:rsidRDefault="008D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D4" w:rsidRDefault="008D16D4">
      <w:r>
        <w:separator/>
      </w:r>
    </w:p>
  </w:footnote>
  <w:footnote w:type="continuationSeparator" w:id="0">
    <w:p w:rsidR="008D16D4" w:rsidRDefault="008D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94EA7"/>
    <w:rsid w:val="002B60EF"/>
    <w:rsid w:val="003A081D"/>
    <w:rsid w:val="003C4238"/>
    <w:rsid w:val="00566500"/>
    <w:rsid w:val="0060640A"/>
    <w:rsid w:val="006D2512"/>
    <w:rsid w:val="007A0CF6"/>
    <w:rsid w:val="008D16D4"/>
    <w:rsid w:val="00A16216"/>
    <w:rsid w:val="00B5444D"/>
    <w:rsid w:val="00D27D52"/>
    <w:rsid w:val="00D56FC3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BC29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10711</Words>
  <Characters>61059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Лунева Елена Александровна</cp:lastModifiedBy>
  <cp:revision>3</cp:revision>
  <dcterms:created xsi:type="dcterms:W3CDTF">2024-12-26T08:49:00Z</dcterms:created>
  <dcterms:modified xsi:type="dcterms:W3CDTF">2024-12-26T12:41:00Z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